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483C4" w14:textId="3E4B19F8" w:rsidR="00294D43" w:rsidRPr="00C70201" w:rsidRDefault="00294D43" w:rsidP="00C70201">
      <w:pPr>
        <w:rPr>
          <w:b/>
          <w:bCs/>
          <w:i/>
          <w:iCs/>
        </w:rPr>
      </w:pPr>
      <w:r>
        <w:rPr>
          <w:rFonts w:ascii="Segoe UI" w:hAnsi="Segoe UI" w:cs="Segoe UI"/>
          <w:sz w:val="21"/>
          <w:szCs w:val="21"/>
        </w:rPr>
        <w:t>Exporters are reminded that compliance obligations extend beyond traditional export control requirements. While determining whether goods, software, technology, or services are subject to export licensing requirements remains essential, businesses must also ensure full compliance with applicable sanctions and restrictive measures.</w:t>
      </w:r>
    </w:p>
    <w:p w14:paraId="434FB06C" w14:textId="77777777" w:rsidR="00294D43" w:rsidRDefault="00294D43" w:rsidP="00294D43">
      <w:pPr>
        <w:pStyle w:val="NormalWeb"/>
        <w:spacing w:line="300" w:lineRule="atLeast"/>
        <w:rPr>
          <w:rFonts w:ascii="Segoe UI" w:hAnsi="Segoe UI" w:cs="Segoe UI"/>
          <w:sz w:val="21"/>
          <w:szCs w:val="21"/>
        </w:rPr>
      </w:pPr>
      <w:r>
        <w:rPr>
          <w:rFonts w:ascii="Segoe UI" w:hAnsi="Segoe UI" w:cs="Segoe UI"/>
          <w:sz w:val="21"/>
          <w:szCs w:val="21"/>
        </w:rPr>
        <w:t>Sanctions regimes can impose prohibitions, restrictions, or licensing requirements relating to specific countries, territories, entities, organisations, vessels, aircraft, financial institutions, and individuals. Consequently, a transaction that may not require an export authorisation under export control legislation could nevertheless be prohibited, restricted, or subject to separate obligations under sanctions measures.</w:t>
      </w:r>
    </w:p>
    <w:p w14:paraId="632FFE3E" w14:textId="77777777" w:rsidR="00294D43" w:rsidRDefault="00294D43" w:rsidP="00294D43">
      <w:pPr>
        <w:pStyle w:val="NormalWeb"/>
        <w:spacing w:line="300" w:lineRule="atLeast"/>
        <w:rPr>
          <w:rFonts w:ascii="Segoe UI" w:hAnsi="Segoe UI" w:cs="Segoe UI"/>
          <w:sz w:val="21"/>
          <w:szCs w:val="21"/>
        </w:rPr>
      </w:pPr>
      <w:r>
        <w:rPr>
          <w:rFonts w:ascii="Segoe UI" w:hAnsi="Segoe UI" w:cs="Segoe UI"/>
          <w:sz w:val="21"/>
          <w:szCs w:val="21"/>
        </w:rPr>
        <w:t>Exporters are therefore strongly encouraged to adopt a risk-based approach and conduct appropriate due diligence on customers, intermediaries, end-users, end-use activities, ownership structures, payment arrangements, and destination countries. Effective sanctions compliance programmes help businesses identify potential risks, avoid inadvertent violations, protect their reputation, and contribute to national and international security objectives.</w:t>
      </w:r>
    </w:p>
    <w:p w14:paraId="433976A7" w14:textId="77777777" w:rsidR="00294D43" w:rsidRDefault="00294D43" w:rsidP="00294D43">
      <w:pPr>
        <w:pStyle w:val="NormalWeb"/>
        <w:spacing w:line="300" w:lineRule="atLeast"/>
        <w:rPr>
          <w:rFonts w:ascii="Segoe UI" w:hAnsi="Segoe UI" w:cs="Segoe UI"/>
          <w:sz w:val="21"/>
          <w:szCs w:val="21"/>
        </w:rPr>
      </w:pPr>
      <w:r>
        <w:rPr>
          <w:rFonts w:ascii="Segoe UI" w:hAnsi="Segoe UI" w:cs="Segoe UI"/>
          <w:sz w:val="21"/>
          <w:szCs w:val="21"/>
        </w:rPr>
        <w:t xml:space="preserve">The Department places particular importance on the </w:t>
      </w:r>
      <w:proofErr w:type="gramStart"/>
      <w:r>
        <w:rPr>
          <w:rFonts w:ascii="Segoe UI" w:hAnsi="Segoe UI" w:cs="Segoe UI"/>
          <w:sz w:val="21"/>
          <w:szCs w:val="21"/>
        </w:rPr>
        <w:t>sanctions</w:t>
      </w:r>
      <w:proofErr w:type="gramEnd"/>
      <w:r>
        <w:rPr>
          <w:rFonts w:ascii="Segoe UI" w:hAnsi="Segoe UI" w:cs="Segoe UI"/>
          <w:sz w:val="21"/>
          <w:szCs w:val="21"/>
        </w:rPr>
        <w:t xml:space="preserve"> guidance and resources available through the link provided below. Exporters are urged to consult this information regularly, as sanctions measures may change rapidly and can have a direct impact on commercial activities, contractual obligations, and export transactions.</w:t>
      </w:r>
    </w:p>
    <w:p w14:paraId="0E89AE40" w14:textId="77777777" w:rsidR="00294D43" w:rsidRDefault="00294D43" w:rsidP="00294D43">
      <w:pPr>
        <w:pStyle w:val="NormalWeb"/>
        <w:spacing w:line="300" w:lineRule="atLeast"/>
        <w:rPr>
          <w:rFonts w:ascii="Segoe UI" w:hAnsi="Segoe UI" w:cs="Segoe UI"/>
          <w:sz w:val="21"/>
          <w:szCs w:val="21"/>
        </w:rPr>
      </w:pPr>
      <w:r>
        <w:rPr>
          <w:rFonts w:ascii="Segoe UI" w:hAnsi="Segoe UI" w:cs="Segoe UI"/>
          <w:sz w:val="21"/>
          <w:szCs w:val="21"/>
        </w:rPr>
        <w:t>Maintaining an effective sanctions compliance framework should be regarded as an integral part of every exporter's internal compliance programme. Compliance with both export control requirements and sanctions obligations is essential to ensuring lawful international trade and safeguarding businesses from legal, financial, and reputational risks.</w:t>
      </w:r>
    </w:p>
    <w:p w14:paraId="52EE8EF6" w14:textId="77777777" w:rsidR="00294D43" w:rsidRDefault="00294D43" w:rsidP="00294D43">
      <w:pPr>
        <w:pStyle w:val="NormalWeb"/>
        <w:spacing w:line="300" w:lineRule="atLeast"/>
        <w:rPr>
          <w:rStyle w:val="Strong"/>
          <w:rFonts w:ascii="Segoe UI" w:hAnsi="Segoe UI" w:cs="Segoe UI"/>
          <w:sz w:val="21"/>
          <w:szCs w:val="21"/>
        </w:rPr>
      </w:pPr>
      <w:r>
        <w:rPr>
          <w:rStyle w:val="Strong"/>
          <w:rFonts w:ascii="Segoe UI" w:hAnsi="Segoe UI" w:cs="Segoe UI"/>
          <w:sz w:val="21"/>
          <w:szCs w:val="21"/>
        </w:rPr>
        <w:t>The Department strongly recommends that all exporters review the guidance available through the link below and incorporate sanctions screening and monitoring procedures into their day-to-day compliance practices.</w:t>
      </w:r>
    </w:p>
    <w:p w14:paraId="772F47E7" w14:textId="77777777" w:rsidR="00EF7FE0" w:rsidRDefault="00EF7FE0" w:rsidP="00EF7FE0">
      <w:pPr>
        <w:pStyle w:val="NormalWeb"/>
        <w:spacing w:line="300" w:lineRule="atLeast"/>
        <w:rPr>
          <w:rFonts w:ascii="Segoe UI" w:hAnsi="Segoe UI" w:cs="Segoe UI"/>
          <w:sz w:val="21"/>
          <w:szCs w:val="21"/>
        </w:rPr>
      </w:pPr>
      <w:r w:rsidRPr="00DF7075">
        <w:rPr>
          <w:rFonts w:ascii="Segoe UI" w:hAnsi="Segoe UI" w:cs="Segoe UI"/>
          <w:sz w:val="21"/>
          <w:szCs w:val="21"/>
        </w:rPr>
        <w:t>https://smb.gov.mt/wp-content/uploads/2026/08/Implementing-Article-32-Sanctions-Compliance-Requirements-2.pdf</w:t>
      </w:r>
    </w:p>
    <w:p w14:paraId="08EEE860" w14:textId="77777777" w:rsidR="00BA782D" w:rsidRDefault="00BA782D" w:rsidP="00BA782D">
      <w:pPr>
        <w:pStyle w:val="NormalWeb"/>
        <w:spacing w:line="300" w:lineRule="atLeast"/>
        <w:rPr>
          <w:rFonts w:ascii="Segoe UI" w:hAnsi="Segoe UI" w:cs="Segoe UI"/>
          <w:sz w:val="21"/>
          <w:szCs w:val="21"/>
        </w:rPr>
      </w:pPr>
    </w:p>
    <w:p w14:paraId="50556565" w14:textId="77777777" w:rsidR="00BA782D" w:rsidRDefault="00BA782D" w:rsidP="00BA782D">
      <w:r>
        <w:t>20.08.2026</w:t>
      </w:r>
    </w:p>
    <w:p w14:paraId="471BC94B" w14:textId="77777777" w:rsidR="00D91BA7" w:rsidRDefault="00D91BA7" w:rsidP="00294D43">
      <w:pPr>
        <w:pStyle w:val="NormalWeb"/>
        <w:spacing w:line="300" w:lineRule="atLeast"/>
        <w:rPr>
          <w:rStyle w:val="Strong"/>
          <w:rFonts w:ascii="Segoe UI" w:hAnsi="Segoe UI" w:cs="Segoe UI"/>
          <w:sz w:val="21"/>
          <w:szCs w:val="21"/>
        </w:rPr>
      </w:pPr>
    </w:p>
    <w:p w14:paraId="575D4385" w14:textId="77777777" w:rsidR="00D91BA7" w:rsidRDefault="00D91BA7" w:rsidP="00294D43">
      <w:pPr>
        <w:pStyle w:val="NormalWeb"/>
        <w:spacing w:line="300" w:lineRule="atLeast"/>
        <w:rPr>
          <w:rStyle w:val="Strong"/>
          <w:rFonts w:ascii="Segoe UI" w:hAnsi="Segoe UI" w:cs="Segoe UI"/>
          <w:sz w:val="21"/>
          <w:szCs w:val="21"/>
        </w:rPr>
      </w:pPr>
    </w:p>
    <w:p w14:paraId="4721E7C0" w14:textId="77777777" w:rsidR="00D91BA7" w:rsidRDefault="00D91BA7" w:rsidP="00294D43">
      <w:pPr>
        <w:pStyle w:val="NormalWeb"/>
        <w:spacing w:line="300" w:lineRule="atLeast"/>
        <w:rPr>
          <w:rStyle w:val="Strong"/>
          <w:rFonts w:ascii="Segoe UI" w:hAnsi="Segoe UI" w:cs="Segoe UI"/>
          <w:sz w:val="21"/>
          <w:szCs w:val="21"/>
        </w:rPr>
      </w:pPr>
    </w:p>
    <w:p w14:paraId="606A5B82" w14:textId="77777777" w:rsidR="00D91BA7" w:rsidRDefault="00D91BA7" w:rsidP="00294D43">
      <w:pPr>
        <w:pStyle w:val="NormalWeb"/>
        <w:spacing w:line="300" w:lineRule="atLeast"/>
        <w:rPr>
          <w:rStyle w:val="Strong"/>
          <w:rFonts w:ascii="Segoe UI" w:hAnsi="Segoe UI" w:cs="Segoe UI"/>
          <w:sz w:val="21"/>
          <w:szCs w:val="21"/>
        </w:rPr>
      </w:pPr>
    </w:p>
    <w:p w14:paraId="577F7028" w14:textId="77777777" w:rsidR="00DF7075" w:rsidRDefault="00DF7075" w:rsidP="00294D43">
      <w:pPr>
        <w:pStyle w:val="NormalWeb"/>
        <w:spacing w:line="300" w:lineRule="atLeast"/>
        <w:rPr>
          <w:rStyle w:val="Strong"/>
          <w:rFonts w:ascii="Segoe UI" w:hAnsi="Segoe UI" w:cs="Segoe UI"/>
          <w:sz w:val="21"/>
          <w:szCs w:val="21"/>
        </w:rPr>
      </w:pPr>
    </w:p>
    <w:sectPr w:rsidR="00DF70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D2A"/>
    <w:rsid w:val="0029495B"/>
    <w:rsid w:val="00294D43"/>
    <w:rsid w:val="00326484"/>
    <w:rsid w:val="00356DBC"/>
    <w:rsid w:val="00414176"/>
    <w:rsid w:val="004868E7"/>
    <w:rsid w:val="00585E0E"/>
    <w:rsid w:val="006C380E"/>
    <w:rsid w:val="008433A4"/>
    <w:rsid w:val="0084696F"/>
    <w:rsid w:val="0093000A"/>
    <w:rsid w:val="00A27B0D"/>
    <w:rsid w:val="00A62DAE"/>
    <w:rsid w:val="00B27BFD"/>
    <w:rsid w:val="00BA782D"/>
    <w:rsid w:val="00BD6EEC"/>
    <w:rsid w:val="00C70201"/>
    <w:rsid w:val="00CF3646"/>
    <w:rsid w:val="00D91BA7"/>
    <w:rsid w:val="00DB2A01"/>
    <w:rsid w:val="00DF7075"/>
    <w:rsid w:val="00EE3D2A"/>
    <w:rsid w:val="00EF7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855CA"/>
  <w15:chartTrackingRefBased/>
  <w15:docId w15:val="{8CA39453-F12A-446E-8B35-570F97EB0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D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D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D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D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D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D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D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D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D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D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D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D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D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D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D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D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D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D2A"/>
    <w:rPr>
      <w:rFonts w:eastAsiaTheme="majorEastAsia" w:cstheme="majorBidi"/>
      <w:color w:val="272727" w:themeColor="text1" w:themeTint="D8"/>
    </w:rPr>
  </w:style>
  <w:style w:type="paragraph" w:styleId="Title">
    <w:name w:val="Title"/>
    <w:basedOn w:val="Normal"/>
    <w:next w:val="Normal"/>
    <w:link w:val="TitleChar"/>
    <w:uiPriority w:val="10"/>
    <w:qFormat/>
    <w:rsid w:val="00EE3D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D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D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D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D2A"/>
    <w:pPr>
      <w:spacing w:before="160"/>
      <w:jc w:val="center"/>
    </w:pPr>
    <w:rPr>
      <w:i/>
      <w:iCs/>
      <w:color w:val="404040" w:themeColor="text1" w:themeTint="BF"/>
    </w:rPr>
  </w:style>
  <w:style w:type="character" w:customStyle="1" w:styleId="QuoteChar">
    <w:name w:val="Quote Char"/>
    <w:basedOn w:val="DefaultParagraphFont"/>
    <w:link w:val="Quote"/>
    <w:uiPriority w:val="29"/>
    <w:rsid w:val="00EE3D2A"/>
    <w:rPr>
      <w:i/>
      <w:iCs/>
      <w:color w:val="404040" w:themeColor="text1" w:themeTint="BF"/>
    </w:rPr>
  </w:style>
  <w:style w:type="paragraph" w:styleId="ListParagraph">
    <w:name w:val="List Paragraph"/>
    <w:basedOn w:val="Normal"/>
    <w:uiPriority w:val="34"/>
    <w:qFormat/>
    <w:rsid w:val="00EE3D2A"/>
    <w:pPr>
      <w:ind w:left="720"/>
      <w:contextualSpacing/>
    </w:pPr>
  </w:style>
  <w:style w:type="character" w:styleId="IntenseEmphasis">
    <w:name w:val="Intense Emphasis"/>
    <w:basedOn w:val="DefaultParagraphFont"/>
    <w:uiPriority w:val="21"/>
    <w:qFormat/>
    <w:rsid w:val="00EE3D2A"/>
    <w:rPr>
      <w:i/>
      <w:iCs/>
      <w:color w:val="0F4761" w:themeColor="accent1" w:themeShade="BF"/>
    </w:rPr>
  </w:style>
  <w:style w:type="paragraph" w:styleId="IntenseQuote">
    <w:name w:val="Intense Quote"/>
    <w:basedOn w:val="Normal"/>
    <w:next w:val="Normal"/>
    <w:link w:val="IntenseQuoteChar"/>
    <w:uiPriority w:val="30"/>
    <w:qFormat/>
    <w:rsid w:val="00EE3D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D2A"/>
    <w:rPr>
      <w:i/>
      <w:iCs/>
      <w:color w:val="0F4761" w:themeColor="accent1" w:themeShade="BF"/>
    </w:rPr>
  </w:style>
  <w:style w:type="character" w:styleId="IntenseReference">
    <w:name w:val="Intense Reference"/>
    <w:basedOn w:val="DefaultParagraphFont"/>
    <w:uiPriority w:val="32"/>
    <w:qFormat/>
    <w:rsid w:val="00EE3D2A"/>
    <w:rPr>
      <w:b/>
      <w:bCs/>
      <w:smallCaps/>
      <w:color w:val="0F4761" w:themeColor="accent1" w:themeShade="BF"/>
      <w:spacing w:val="5"/>
    </w:rPr>
  </w:style>
  <w:style w:type="paragraph" w:styleId="NormalWeb">
    <w:name w:val="Normal (Web)"/>
    <w:basedOn w:val="Normal"/>
    <w:uiPriority w:val="99"/>
    <w:semiHidden/>
    <w:unhideWhenUsed/>
    <w:rsid w:val="00294D4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94D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1898</Characters>
  <Application>Microsoft Office Word</Application>
  <DocSecurity>0</DocSecurity>
  <Lines>15</Lines>
  <Paragraphs>4</Paragraphs>
  <ScaleCrop>false</ScaleCrop>
  <Company>Government of Malta</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Calleja Isaac at METP</dc:creator>
  <cp:keywords/>
  <dc:description/>
  <cp:lastModifiedBy>Calleja Isaac at METP</cp:lastModifiedBy>
  <cp:revision>2</cp:revision>
  <dcterms:created xsi:type="dcterms:W3CDTF">2026-08-24T09:43:00Z</dcterms:created>
  <dcterms:modified xsi:type="dcterms:W3CDTF">2026-08-24T09:43:00Z</dcterms:modified>
</cp:coreProperties>
</file>